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B2BDBA" w14:textId="77777777" w:rsidR="00F75779" w:rsidRPr="00F75779" w:rsidRDefault="00F75779" w:rsidP="00F75779">
      <w:pPr>
        <w:spacing w:after="0" w:line="240" w:lineRule="auto"/>
        <w:jc w:val="center"/>
        <w:rPr>
          <w:b/>
          <w:bCs/>
          <w:sz w:val="26"/>
          <w:szCs w:val="26"/>
        </w:rPr>
      </w:pPr>
      <w:r w:rsidRPr="00F75779">
        <w:rPr>
          <w:b/>
          <w:bCs/>
          <w:sz w:val="26"/>
          <w:szCs w:val="26"/>
        </w:rPr>
        <w:t>New Docebo Course Player Interface</w:t>
      </w:r>
    </w:p>
    <w:p w14:paraId="299CA26E" w14:textId="77777777" w:rsidR="00F75779" w:rsidRPr="00F75779" w:rsidRDefault="00F75779" w:rsidP="00DD7C2E">
      <w:pPr>
        <w:jc w:val="both"/>
        <w:rPr>
          <w:sz w:val="18"/>
          <w:szCs w:val="18"/>
        </w:rPr>
      </w:pPr>
    </w:p>
    <w:p w14:paraId="2FA80767" w14:textId="20D1BD6F" w:rsidR="00121997" w:rsidRDefault="00DD7C2E" w:rsidP="00B324A1">
      <w:pPr>
        <w:jc w:val="both"/>
      </w:pPr>
      <w:r w:rsidRPr="00DD7C2E">
        <w:t xml:space="preserve">Docebo will be switching to a new Course player interface in late 2024.  This change is focused on increasing the level of compliance of the Docebo LMS with the Web Content Accessibility Guidelines.   While the new design includes some functional enhancements, the redesign of the course page is mostly about </w:t>
      </w:r>
      <w:r w:rsidRPr="00DD7C2E">
        <w:rPr>
          <w:b/>
          <w:bCs/>
        </w:rPr>
        <w:t>accessibility</w:t>
      </w:r>
      <w:r w:rsidRPr="00DD7C2E">
        <w:t xml:space="preserve">.  </w:t>
      </w:r>
      <w:r w:rsidR="00101962">
        <w:t>The biggest improvement coming with th</w:t>
      </w:r>
      <w:r w:rsidR="00344AB6">
        <w:t>e</w:t>
      </w:r>
      <w:r w:rsidR="00101962">
        <w:t xml:space="preserve"> new interface for Docebo is what learners will see while attending eLearning courses in the LMS.  The comparison below uses screenshots taken from the “Evaluations and Certification Training” course that many of you participated in a few years ago.</w:t>
      </w:r>
      <w:r w:rsidR="00B324A1">
        <w:t xml:space="preserve">  </w:t>
      </w:r>
      <w:r w:rsidR="004E6E6B">
        <w:t xml:space="preserve">The </w:t>
      </w:r>
      <w:r w:rsidR="00B324A1">
        <w:t>screenshots show the</w:t>
      </w:r>
      <w:r w:rsidR="004E6E6B">
        <w:t xml:space="preserve"> interface differences between the</w:t>
      </w:r>
      <w:r w:rsidR="00B324A1">
        <w:t xml:space="preserve"> </w:t>
      </w:r>
      <w:r w:rsidR="00B324A1" w:rsidRPr="00344AB6">
        <w:rPr>
          <w:b/>
          <w:bCs/>
        </w:rPr>
        <w:t>c</w:t>
      </w:r>
      <w:r w:rsidR="00121997" w:rsidRPr="00344AB6">
        <w:rPr>
          <w:b/>
          <w:bCs/>
        </w:rPr>
        <w:t>urrent course player</w:t>
      </w:r>
      <w:r w:rsidR="00B324A1">
        <w:t xml:space="preserve"> and the </w:t>
      </w:r>
      <w:r w:rsidR="00B324A1" w:rsidRPr="00344AB6">
        <w:rPr>
          <w:b/>
          <w:bCs/>
        </w:rPr>
        <w:t>new course player</w:t>
      </w:r>
      <w:r w:rsidR="00B324A1">
        <w:t xml:space="preserve"> for th</w:t>
      </w:r>
      <w:r w:rsidR="004E6E6B">
        <w:t xml:space="preserve">is </w:t>
      </w:r>
      <w:r w:rsidR="00B324A1">
        <w:t>course</w:t>
      </w:r>
      <w:r w:rsidR="004E6E6B">
        <w:t>.</w:t>
      </w:r>
    </w:p>
    <w:p w14:paraId="16D465A5" w14:textId="77777777" w:rsidR="00542A3B" w:rsidRPr="00542A3B" w:rsidRDefault="00542A3B" w:rsidP="00B324A1">
      <w:pPr>
        <w:jc w:val="both"/>
        <w:rPr>
          <w:sz w:val="16"/>
          <w:szCs w:val="16"/>
        </w:rPr>
      </w:pPr>
    </w:p>
    <w:p w14:paraId="5B7CA893" w14:textId="77777777" w:rsidR="00542A3B" w:rsidRPr="00542A3B" w:rsidRDefault="00542A3B" w:rsidP="00542A3B">
      <w:pPr>
        <w:spacing w:after="120" w:line="240" w:lineRule="auto"/>
        <w:jc w:val="both"/>
        <w:rPr>
          <w:b/>
          <w:bCs/>
          <w:color w:val="C00000"/>
          <w:sz w:val="24"/>
          <w:szCs w:val="24"/>
        </w:rPr>
      </w:pPr>
      <w:r w:rsidRPr="00542A3B">
        <w:rPr>
          <w:b/>
          <w:bCs/>
          <w:color w:val="C00000"/>
          <w:sz w:val="24"/>
          <w:szCs w:val="24"/>
        </w:rPr>
        <w:t>Current course player:</w:t>
      </w:r>
    </w:p>
    <w:p w14:paraId="6050E5B3" w14:textId="03CECD56" w:rsidR="00121997" w:rsidRDefault="00121997">
      <w:r w:rsidRPr="00121997">
        <w:rPr>
          <w:noProof/>
        </w:rPr>
        <w:drawing>
          <wp:inline distT="0" distB="0" distL="0" distR="0" wp14:anchorId="56B9BA42" wp14:editId="04159BBF">
            <wp:extent cx="5761874" cy="2194560"/>
            <wp:effectExtent l="0" t="0" r="0" b="0"/>
            <wp:docPr id="151895695" name="Picture 1" descr="A hand holding a wood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95695" name="Picture 1" descr="A hand holding a wood post&#10;&#10;Description automatically generated"/>
                    <pic:cNvPicPr/>
                  </pic:nvPicPr>
                  <pic:blipFill>
                    <a:blip r:embed="rId5"/>
                    <a:stretch>
                      <a:fillRect/>
                    </a:stretch>
                  </pic:blipFill>
                  <pic:spPr>
                    <a:xfrm>
                      <a:off x="0" y="0"/>
                      <a:ext cx="5825879" cy="2218938"/>
                    </a:xfrm>
                    <a:prstGeom prst="rect">
                      <a:avLst/>
                    </a:prstGeom>
                  </pic:spPr>
                </pic:pic>
              </a:graphicData>
            </a:graphic>
          </wp:inline>
        </w:drawing>
      </w:r>
    </w:p>
    <w:p w14:paraId="0BFD4918" w14:textId="3E81F29C" w:rsidR="00121997" w:rsidRPr="00542A3B" w:rsidRDefault="00121997" w:rsidP="00B324A1">
      <w:pPr>
        <w:rPr>
          <w:b/>
          <w:bCs/>
          <w:sz w:val="16"/>
          <w:szCs w:val="16"/>
        </w:rPr>
      </w:pPr>
    </w:p>
    <w:p w14:paraId="12C87C7F" w14:textId="385B8177" w:rsidR="00542A3B" w:rsidRPr="00542A3B" w:rsidRDefault="00542A3B" w:rsidP="00542A3B">
      <w:pPr>
        <w:spacing w:after="120" w:line="240" w:lineRule="auto"/>
        <w:jc w:val="both"/>
        <w:rPr>
          <w:b/>
          <w:bCs/>
          <w:color w:val="3A7C22" w:themeColor="accent6" w:themeShade="BF"/>
          <w:sz w:val="24"/>
          <w:szCs w:val="24"/>
        </w:rPr>
      </w:pPr>
      <w:r w:rsidRPr="00542A3B">
        <w:rPr>
          <w:b/>
          <w:bCs/>
          <w:color w:val="3A7C22" w:themeColor="accent6" w:themeShade="BF"/>
          <w:sz w:val="24"/>
          <w:szCs w:val="24"/>
        </w:rPr>
        <w:t>New course player:</w:t>
      </w:r>
    </w:p>
    <w:p w14:paraId="4ACCD4FD" w14:textId="3D0E1538" w:rsidR="00121997" w:rsidRDefault="00121997">
      <w:r w:rsidRPr="00121997">
        <w:rPr>
          <w:noProof/>
        </w:rPr>
        <w:drawing>
          <wp:inline distT="0" distB="0" distL="0" distR="0" wp14:anchorId="5E1A55ED" wp14:editId="0CE941AB">
            <wp:extent cx="6468543" cy="2621280"/>
            <wp:effectExtent l="0" t="0" r="8890" b="7620"/>
            <wp:docPr id="354521691" name="Picture 1"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521691" name="Picture 1" descr="A screenshot of a video&#10;&#10;Description automatically generated"/>
                    <pic:cNvPicPr/>
                  </pic:nvPicPr>
                  <pic:blipFill>
                    <a:blip r:embed="rId6"/>
                    <a:stretch>
                      <a:fillRect/>
                    </a:stretch>
                  </pic:blipFill>
                  <pic:spPr>
                    <a:xfrm>
                      <a:off x="0" y="0"/>
                      <a:ext cx="6491876" cy="2630735"/>
                    </a:xfrm>
                    <a:prstGeom prst="rect">
                      <a:avLst/>
                    </a:prstGeom>
                  </pic:spPr>
                </pic:pic>
              </a:graphicData>
            </a:graphic>
          </wp:inline>
        </w:drawing>
      </w:r>
    </w:p>
    <w:p w14:paraId="507FE1CD" w14:textId="77777777" w:rsidR="00A2635C" w:rsidRDefault="00A2635C" w:rsidP="00101962">
      <w:pPr>
        <w:jc w:val="both"/>
      </w:pPr>
    </w:p>
    <w:p w14:paraId="0D7F004A" w14:textId="6E7D1AF3" w:rsidR="00647930" w:rsidRDefault="002F496A" w:rsidP="00101962">
      <w:pPr>
        <w:jc w:val="both"/>
      </w:pPr>
      <w:r>
        <w:t>Please note t</w:t>
      </w:r>
      <w:r w:rsidR="00647930">
        <w:t xml:space="preserve">he </w:t>
      </w:r>
      <w:r>
        <w:t>“Table of Contents” is now referred to as</w:t>
      </w:r>
      <w:r w:rsidR="00A2635C">
        <w:t xml:space="preserve"> the</w:t>
      </w:r>
      <w:r>
        <w:t xml:space="preserve"> </w:t>
      </w:r>
      <w:r w:rsidR="00647930" w:rsidRPr="00A2635C">
        <w:rPr>
          <w:b/>
          <w:bCs/>
          <w:sz w:val="24"/>
          <w:szCs w:val="24"/>
        </w:rPr>
        <w:t>Syllabus</w:t>
      </w:r>
      <w:r>
        <w:t xml:space="preserve">.  Just like with the “Table of Contents”, this information </w:t>
      </w:r>
      <w:r w:rsidR="00647930">
        <w:t xml:space="preserve">can be closed or re-opened </w:t>
      </w:r>
      <w:r>
        <w:t xml:space="preserve">by clicking </w:t>
      </w:r>
      <w:r w:rsidR="00647930">
        <w:t>the small icon towards the right o</w:t>
      </w:r>
      <w:r w:rsidR="00101962">
        <w:t>f</w:t>
      </w:r>
      <w:r w:rsidR="00647930">
        <w:t xml:space="preserve"> the syllabus header.</w:t>
      </w:r>
      <w:r w:rsidR="00101962">
        <w:t xml:space="preserve">  </w:t>
      </w:r>
      <w:r w:rsidR="00344AB6">
        <w:t xml:space="preserve"> </w:t>
      </w:r>
    </w:p>
    <w:p w14:paraId="60F28F65" w14:textId="547409C1" w:rsidR="006E6F4E" w:rsidRPr="00647930" w:rsidRDefault="006E6F4E" w:rsidP="00A2635C">
      <w:pPr>
        <w:ind w:left="720" w:firstLine="720"/>
        <w:jc w:val="both"/>
      </w:pPr>
      <w:r w:rsidRPr="00647930">
        <w:rPr>
          <w:noProof/>
        </w:rPr>
        <w:lastRenderedPageBreak/>
        <w:drawing>
          <wp:inline distT="0" distB="0" distL="0" distR="0" wp14:anchorId="02A718D1" wp14:editId="79187B6C">
            <wp:extent cx="3232092" cy="677263"/>
            <wp:effectExtent l="0" t="0" r="6985" b="8890"/>
            <wp:docPr id="1691781269" name="Picture 1" descr="A black rectangular object with a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781269" name="Picture 1" descr="A black rectangular object with a white border&#10;&#10;Description automatically generated"/>
                    <pic:cNvPicPr/>
                  </pic:nvPicPr>
                  <pic:blipFill>
                    <a:blip r:embed="rId7"/>
                    <a:stretch>
                      <a:fillRect/>
                    </a:stretch>
                  </pic:blipFill>
                  <pic:spPr>
                    <a:xfrm>
                      <a:off x="0" y="0"/>
                      <a:ext cx="3269679" cy="685139"/>
                    </a:xfrm>
                    <a:prstGeom prst="rect">
                      <a:avLst/>
                    </a:prstGeom>
                  </pic:spPr>
                </pic:pic>
              </a:graphicData>
            </a:graphic>
          </wp:inline>
        </w:drawing>
      </w:r>
    </w:p>
    <w:p w14:paraId="1333CFFA" w14:textId="77777777" w:rsidR="00542A3B" w:rsidRDefault="00542A3B" w:rsidP="00A37A04">
      <w:pPr>
        <w:jc w:val="both"/>
      </w:pPr>
    </w:p>
    <w:p w14:paraId="4D72BA9C" w14:textId="23DDE8AC" w:rsidR="00A37A04" w:rsidRPr="00CE4D5A" w:rsidRDefault="00A37A04" w:rsidP="00A37A04">
      <w:pPr>
        <w:jc w:val="both"/>
      </w:pPr>
      <w:r>
        <w:t>T</w:t>
      </w:r>
      <w:r w:rsidRPr="00CE4D5A">
        <w:t>he</w:t>
      </w:r>
      <w:r>
        <w:t xml:space="preserve"> </w:t>
      </w:r>
      <w:r w:rsidRPr="001E122F">
        <w:rPr>
          <w:i/>
          <w:iCs/>
        </w:rPr>
        <w:t>course player page</w:t>
      </w:r>
      <w:r w:rsidRPr="00CE4D5A">
        <w:t xml:space="preserve"> </w:t>
      </w:r>
      <w:r>
        <w:t>for</w:t>
      </w:r>
      <w:r w:rsidRPr="00CE4D5A">
        <w:t xml:space="preserve"> courses has been completely re</w:t>
      </w:r>
      <w:r>
        <w:t>-</w:t>
      </w:r>
      <w:r w:rsidRPr="00CE4D5A">
        <w:t>vamped</w:t>
      </w:r>
      <w:r>
        <w:t xml:space="preserve"> with </w:t>
      </w:r>
      <w:r w:rsidRPr="00CE4D5A">
        <w:t>the</w:t>
      </w:r>
      <w:r>
        <w:t xml:space="preserve"> following</w:t>
      </w:r>
      <w:r w:rsidRPr="00CE4D5A">
        <w:t xml:space="preserve"> enhancements</w:t>
      </w:r>
      <w:r>
        <w:t>:</w:t>
      </w:r>
      <w:r w:rsidRPr="00CE4D5A">
        <w:t xml:space="preserve"> </w:t>
      </w:r>
    </w:p>
    <w:p w14:paraId="456DC458" w14:textId="77777777" w:rsidR="00A37A04" w:rsidRPr="00CE4D5A" w:rsidRDefault="00A37A04" w:rsidP="00A37A04">
      <w:pPr>
        <w:numPr>
          <w:ilvl w:val="0"/>
          <w:numId w:val="3"/>
        </w:numPr>
        <w:jc w:val="both"/>
      </w:pPr>
      <w:r w:rsidRPr="00CE4D5A">
        <w:rPr>
          <w:b/>
          <w:bCs/>
        </w:rPr>
        <w:t xml:space="preserve">Course syllabus: </w:t>
      </w:r>
      <w:r w:rsidRPr="00CE4D5A">
        <w:t>The new area showing the course content is an expandable panel allowing learners to navigate the course lessons, and that can be displayed or hidden with a click.</w:t>
      </w:r>
    </w:p>
    <w:p w14:paraId="1F123D5C" w14:textId="77777777" w:rsidR="00A37A04" w:rsidRPr="00CE4D5A" w:rsidRDefault="00A37A04" w:rsidP="00A37A04">
      <w:pPr>
        <w:numPr>
          <w:ilvl w:val="0"/>
          <w:numId w:val="3"/>
        </w:numPr>
        <w:jc w:val="both"/>
      </w:pPr>
      <w:r w:rsidRPr="00CE4D5A">
        <w:rPr>
          <w:b/>
          <w:bCs/>
        </w:rPr>
        <w:t xml:space="preserve">Consistent player experience: </w:t>
      </w:r>
      <w:r w:rsidRPr="00CE4D5A">
        <w:t xml:space="preserve">The new course player has been designed to provide </w:t>
      </w:r>
      <w:proofErr w:type="gramStart"/>
      <w:r w:rsidRPr="00CE4D5A">
        <w:t>a consistent</w:t>
      </w:r>
      <w:proofErr w:type="gramEnd"/>
      <w:r w:rsidRPr="00CE4D5A">
        <w:t xml:space="preserve"> experience for all types of training materials. Navigation elements and functionalities do not change position or aspect but simply adapt them according to the type of training material.</w:t>
      </w:r>
    </w:p>
    <w:p w14:paraId="19C8C0A6" w14:textId="77777777" w:rsidR="00A37A04" w:rsidRDefault="00A37A04" w:rsidP="00A37A04">
      <w:pPr>
        <w:numPr>
          <w:ilvl w:val="0"/>
          <w:numId w:val="3"/>
        </w:numPr>
        <w:contextualSpacing/>
        <w:jc w:val="both"/>
      </w:pPr>
      <w:r w:rsidRPr="00CE4D5A">
        <w:rPr>
          <w:b/>
          <w:bCs/>
        </w:rPr>
        <w:t xml:space="preserve">Theater mode: </w:t>
      </w:r>
      <w:r w:rsidRPr="00CE4D5A">
        <w:t>To provide a real immersive user experience, the new player includes the Theater Mode view, which allows learners to expand the player and focus only on the content by hiding the platform header and the course widgets while keeping the course syllabus and the navigation bar visible. </w:t>
      </w:r>
    </w:p>
    <w:p w14:paraId="43A5476D" w14:textId="77777777" w:rsidR="00A37A04" w:rsidRDefault="00A37A04" w:rsidP="00E564F9">
      <w:pPr>
        <w:jc w:val="both"/>
      </w:pPr>
    </w:p>
    <w:p w14:paraId="57CFB2F2" w14:textId="45936C0F" w:rsidR="00E564F9" w:rsidRDefault="00E564F9" w:rsidP="00E564F9">
      <w:pPr>
        <w:jc w:val="both"/>
      </w:pPr>
      <w:r w:rsidRPr="00496752">
        <w:t xml:space="preserve">The </w:t>
      </w:r>
      <w:r w:rsidRPr="001E122F">
        <w:rPr>
          <w:i/>
          <w:iCs/>
        </w:rPr>
        <w:t>course page</w:t>
      </w:r>
      <w:r w:rsidRPr="00496752">
        <w:t xml:space="preserve"> has been redesigned to highlight the course training material (lessons). In addition, course widgets are available from a dedicated menu organized in tabs. </w:t>
      </w:r>
      <w:r>
        <w:t xml:space="preserve"> </w:t>
      </w:r>
      <w:r w:rsidRPr="00496752">
        <w:t>The layout of the page is composed of three main areas:</w:t>
      </w:r>
    </w:p>
    <w:p w14:paraId="48139EE8" w14:textId="2BABECAF" w:rsidR="003C02B0" w:rsidRDefault="003C02B0" w:rsidP="003C02B0">
      <w:pPr>
        <w:jc w:val="both"/>
      </w:pPr>
      <w:r w:rsidRPr="00907D96">
        <w:rPr>
          <w:b/>
          <w:bCs/>
        </w:rPr>
        <w:t>Course title bar:</w:t>
      </w:r>
      <w:r w:rsidR="00FF3720">
        <w:rPr>
          <w:b/>
          <w:bCs/>
        </w:rPr>
        <w:t xml:space="preserve"> </w:t>
      </w:r>
      <w:r w:rsidRPr="00496752">
        <w:t xml:space="preserve"> </w:t>
      </w:r>
      <w:r w:rsidR="00FF3720">
        <w:t xml:space="preserve"> </w:t>
      </w:r>
      <w:r w:rsidRPr="00496752">
        <w:t>This area shows the course title, the course type, the course language, the learners' progress in the course, and the action buttons allowing learners to perform the actions configured for the course.</w:t>
      </w:r>
    </w:p>
    <w:p w14:paraId="33C3FB34" w14:textId="3880438B" w:rsidR="003C02B0" w:rsidRDefault="003C02B0" w:rsidP="003C02B0">
      <w:pPr>
        <w:jc w:val="both"/>
      </w:pPr>
      <w:r w:rsidRPr="00907D96">
        <w:rPr>
          <w:b/>
          <w:bCs/>
        </w:rPr>
        <w:t>Player area</w:t>
      </w:r>
      <w:r w:rsidR="00FF3720">
        <w:rPr>
          <w:b/>
          <w:bCs/>
        </w:rPr>
        <w:t>:</w:t>
      </w:r>
      <w:r w:rsidRPr="00496752">
        <w:t xml:space="preserve">  </w:t>
      </w:r>
      <w:r w:rsidR="00FF3720">
        <w:t xml:space="preserve"> </w:t>
      </w:r>
      <w:r w:rsidRPr="00496752">
        <w:t>The area most impacted by the revamp. It includes the course syllabus expandable panel, the lessons navigation bar, the player, and the description of the lesson</w:t>
      </w:r>
      <w:r>
        <w:t>.</w:t>
      </w:r>
    </w:p>
    <w:p w14:paraId="0088DA54" w14:textId="45837392" w:rsidR="003C02B0" w:rsidRDefault="003C02B0" w:rsidP="003C02B0">
      <w:pPr>
        <w:contextualSpacing/>
        <w:jc w:val="both"/>
      </w:pPr>
      <w:r w:rsidRPr="00496752">
        <w:rPr>
          <w:b/>
          <w:bCs/>
        </w:rPr>
        <w:t xml:space="preserve">Widgets: </w:t>
      </w:r>
      <w:r w:rsidR="00FF3720">
        <w:rPr>
          <w:b/>
          <w:bCs/>
        </w:rPr>
        <w:t xml:space="preserve">  </w:t>
      </w:r>
      <w:r w:rsidRPr="00496752">
        <w:t xml:space="preserve">The </w:t>
      </w:r>
      <w:hyperlink r:id="rId8" w:history="1">
        <w:r w:rsidRPr="001E122F">
          <w:rPr>
            <w:rStyle w:val="Hyperlink"/>
            <w:i/>
            <w:iCs/>
            <w:color w:val="auto"/>
            <w:u w:val="none"/>
          </w:rPr>
          <w:t>course widgets</w:t>
        </w:r>
      </w:hyperlink>
      <w:r w:rsidRPr="001E122F">
        <w:t xml:space="preserve"> </w:t>
      </w:r>
      <w:r w:rsidRPr="00496752">
        <w:t xml:space="preserve">are grouped in a dedicated area under the player area, and are organized in tabs. All the widgets are labeled with headings. To provide </w:t>
      </w:r>
      <w:proofErr w:type="gramStart"/>
      <w:r w:rsidRPr="00496752">
        <w:t>a good</w:t>
      </w:r>
      <w:proofErr w:type="gramEnd"/>
      <w:r w:rsidRPr="00496752">
        <w:t xml:space="preserve"> experience to keyboard-only users</w:t>
      </w:r>
      <w:r w:rsidR="00FF3720">
        <w:t>,</w:t>
      </w:r>
      <w:r w:rsidRPr="00496752">
        <w:t xml:space="preserve"> the keyboard focus allows them to move to the title of the widget selected.  </w:t>
      </w:r>
    </w:p>
    <w:p w14:paraId="1D2C733A" w14:textId="77777777" w:rsidR="003C02B0" w:rsidRPr="00496752" w:rsidRDefault="003C02B0" w:rsidP="003C02B0">
      <w:pPr>
        <w:ind w:left="720"/>
        <w:contextualSpacing/>
        <w:jc w:val="both"/>
      </w:pPr>
    </w:p>
    <w:p w14:paraId="4D4D4014" w14:textId="1B0F29CA" w:rsidR="003C02B0" w:rsidRDefault="003C02B0" w:rsidP="003C02B0">
      <w:pPr>
        <w:numPr>
          <w:ilvl w:val="0"/>
          <w:numId w:val="2"/>
        </w:numPr>
        <w:contextualSpacing/>
        <w:jc w:val="both"/>
      </w:pPr>
      <w:r w:rsidRPr="00496752">
        <w:rPr>
          <w:b/>
          <w:bCs/>
        </w:rPr>
        <w:t xml:space="preserve">Course details widget: </w:t>
      </w:r>
      <w:r w:rsidRPr="00496752">
        <w:t xml:space="preserve">This new widget shows the course details defined in the </w:t>
      </w:r>
      <w:r w:rsidRPr="00496752">
        <w:rPr>
          <w:i/>
          <w:iCs/>
        </w:rPr>
        <w:t>Course Information</w:t>
      </w:r>
      <w:r w:rsidRPr="00496752">
        <w:t xml:space="preserve"> section of the </w:t>
      </w:r>
      <w:r w:rsidRPr="00496752">
        <w:rPr>
          <w:i/>
          <w:iCs/>
        </w:rPr>
        <w:t>Details</w:t>
      </w:r>
      <w:r w:rsidRPr="00496752">
        <w:t xml:space="preserve"> area of the course </w:t>
      </w:r>
      <w:r w:rsidRPr="00496752">
        <w:rPr>
          <w:i/>
          <w:iCs/>
        </w:rPr>
        <w:t>Properties</w:t>
      </w:r>
      <w:r w:rsidRPr="00496752">
        <w:t xml:space="preserve"> tab (except for the course description)</w:t>
      </w:r>
      <w:r w:rsidR="001E122F">
        <w:t>.</w:t>
      </w:r>
    </w:p>
    <w:p w14:paraId="27A01399" w14:textId="77777777" w:rsidR="003C02B0" w:rsidRPr="00496752" w:rsidRDefault="003C02B0" w:rsidP="003C02B0">
      <w:pPr>
        <w:ind w:left="720"/>
        <w:jc w:val="both"/>
      </w:pPr>
    </w:p>
    <w:p w14:paraId="643CCA40" w14:textId="77777777" w:rsidR="00542A3B" w:rsidRPr="00D30B1E" w:rsidRDefault="00542A3B" w:rsidP="00542A3B">
      <w:pPr>
        <w:rPr>
          <w:b/>
          <w:bCs/>
        </w:rPr>
      </w:pPr>
      <w:r>
        <w:rPr>
          <w:b/>
          <w:bCs/>
        </w:rPr>
        <w:t>Learner Resources</w:t>
      </w:r>
    </w:p>
    <w:p w14:paraId="0B27E9A5" w14:textId="77777777" w:rsidR="00542A3B" w:rsidRDefault="00542A3B" w:rsidP="00542A3B">
      <w:pPr>
        <w:jc w:val="both"/>
      </w:pPr>
      <w:r w:rsidRPr="00D30B1E">
        <w:t xml:space="preserve">Docebo also developed a resource page for learners needing assistance navigating the new course page. This resource can be </w:t>
      </w:r>
      <w:r>
        <w:t xml:space="preserve">shared with learners and is </w:t>
      </w:r>
      <w:r w:rsidRPr="00D30B1E">
        <w:t xml:space="preserve">found here: </w:t>
      </w:r>
    </w:p>
    <w:p w14:paraId="1336C674" w14:textId="78C33AE8" w:rsidR="00EA5B7E" w:rsidRDefault="000242C6" w:rsidP="003C02B0">
      <w:pPr>
        <w:ind w:firstLine="720"/>
      </w:pPr>
      <w:hyperlink r:id="rId9" w:tgtFrame="_self" w:history="1">
        <w:r w:rsidRPr="000242C6">
          <w:rPr>
            <w:rStyle w:val="Hyperlink"/>
          </w:rPr>
          <w:t>Learner Guide for the New Course Page</w:t>
        </w:r>
      </w:hyperlink>
    </w:p>
    <w:p w14:paraId="6DA19CB3" w14:textId="77777777" w:rsidR="000242C6" w:rsidRDefault="000242C6"/>
    <w:p w14:paraId="28F1D790" w14:textId="77777777" w:rsidR="000242C6" w:rsidRPr="005C5EDB" w:rsidRDefault="000242C6"/>
    <w:sectPr w:rsidR="000242C6" w:rsidRPr="005C5EDB" w:rsidSect="00A2635C">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B773D"/>
    <w:multiLevelType w:val="multilevel"/>
    <w:tmpl w:val="6ACEC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83652C"/>
    <w:multiLevelType w:val="multilevel"/>
    <w:tmpl w:val="05A04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B90EB1"/>
    <w:multiLevelType w:val="multilevel"/>
    <w:tmpl w:val="726C1D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4034F3"/>
    <w:multiLevelType w:val="hybridMultilevel"/>
    <w:tmpl w:val="05E2FC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8600603">
    <w:abstractNumId w:val="2"/>
  </w:num>
  <w:num w:numId="2" w16cid:durableId="306783544">
    <w:abstractNumId w:val="1"/>
  </w:num>
  <w:num w:numId="3" w16cid:durableId="2030906219">
    <w:abstractNumId w:val="0"/>
  </w:num>
  <w:num w:numId="4" w16cid:durableId="20925827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EDB"/>
    <w:rsid w:val="000226EF"/>
    <w:rsid w:val="000242C6"/>
    <w:rsid w:val="000440CF"/>
    <w:rsid w:val="00045D08"/>
    <w:rsid w:val="00101962"/>
    <w:rsid w:val="00113DF1"/>
    <w:rsid w:val="00121997"/>
    <w:rsid w:val="00164309"/>
    <w:rsid w:val="00176DB4"/>
    <w:rsid w:val="001E122F"/>
    <w:rsid w:val="001E5139"/>
    <w:rsid w:val="00283F3B"/>
    <w:rsid w:val="002F496A"/>
    <w:rsid w:val="00300366"/>
    <w:rsid w:val="0033223E"/>
    <w:rsid w:val="00344AB6"/>
    <w:rsid w:val="00365FFF"/>
    <w:rsid w:val="003C02B0"/>
    <w:rsid w:val="003D1A39"/>
    <w:rsid w:val="00456BFA"/>
    <w:rsid w:val="004572F4"/>
    <w:rsid w:val="00496752"/>
    <w:rsid w:val="004A329C"/>
    <w:rsid w:val="004E6E6B"/>
    <w:rsid w:val="00542A3B"/>
    <w:rsid w:val="005C5EDB"/>
    <w:rsid w:val="00647930"/>
    <w:rsid w:val="00656036"/>
    <w:rsid w:val="00685F9E"/>
    <w:rsid w:val="006E6F4E"/>
    <w:rsid w:val="0078163B"/>
    <w:rsid w:val="008B12C5"/>
    <w:rsid w:val="008D5D19"/>
    <w:rsid w:val="00907D96"/>
    <w:rsid w:val="00A2635C"/>
    <w:rsid w:val="00A37A04"/>
    <w:rsid w:val="00AB285C"/>
    <w:rsid w:val="00AD19FD"/>
    <w:rsid w:val="00B324A1"/>
    <w:rsid w:val="00C3196E"/>
    <w:rsid w:val="00CD0EF3"/>
    <w:rsid w:val="00CE28A7"/>
    <w:rsid w:val="00CE4D5A"/>
    <w:rsid w:val="00D566A5"/>
    <w:rsid w:val="00DD7C2E"/>
    <w:rsid w:val="00E564F9"/>
    <w:rsid w:val="00EA5B7E"/>
    <w:rsid w:val="00ED7694"/>
    <w:rsid w:val="00EE1C55"/>
    <w:rsid w:val="00F353CC"/>
    <w:rsid w:val="00F432DA"/>
    <w:rsid w:val="00F75779"/>
    <w:rsid w:val="00FF37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34D4E"/>
  <w15:chartTrackingRefBased/>
  <w15:docId w15:val="{5DA653EE-063D-42C4-9C40-1F12A20FD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5E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C5E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5E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5E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5E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5E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5E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5E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5E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5ED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C5ED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5ED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5ED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5ED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5E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5E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5E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5EDB"/>
    <w:rPr>
      <w:rFonts w:eastAsiaTheme="majorEastAsia" w:cstheme="majorBidi"/>
      <w:color w:val="272727" w:themeColor="text1" w:themeTint="D8"/>
    </w:rPr>
  </w:style>
  <w:style w:type="paragraph" w:styleId="Title">
    <w:name w:val="Title"/>
    <w:basedOn w:val="Normal"/>
    <w:next w:val="Normal"/>
    <w:link w:val="TitleChar"/>
    <w:uiPriority w:val="10"/>
    <w:qFormat/>
    <w:rsid w:val="005C5E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5E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5E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5E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5EDB"/>
    <w:pPr>
      <w:spacing w:before="160"/>
      <w:jc w:val="center"/>
    </w:pPr>
    <w:rPr>
      <w:i/>
      <w:iCs/>
      <w:color w:val="404040" w:themeColor="text1" w:themeTint="BF"/>
    </w:rPr>
  </w:style>
  <w:style w:type="character" w:customStyle="1" w:styleId="QuoteChar">
    <w:name w:val="Quote Char"/>
    <w:basedOn w:val="DefaultParagraphFont"/>
    <w:link w:val="Quote"/>
    <w:uiPriority w:val="29"/>
    <w:rsid w:val="005C5EDB"/>
    <w:rPr>
      <w:i/>
      <w:iCs/>
      <w:color w:val="404040" w:themeColor="text1" w:themeTint="BF"/>
    </w:rPr>
  </w:style>
  <w:style w:type="paragraph" w:styleId="ListParagraph">
    <w:name w:val="List Paragraph"/>
    <w:basedOn w:val="Normal"/>
    <w:uiPriority w:val="34"/>
    <w:qFormat/>
    <w:rsid w:val="005C5EDB"/>
    <w:pPr>
      <w:ind w:left="720"/>
      <w:contextualSpacing/>
    </w:pPr>
  </w:style>
  <w:style w:type="character" w:styleId="IntenseEmphasis">
    <w:name w:val="Intense Emphasis"/>
    <w:basedOn w:val="DefaultParagraphFont"/>
    <w:uiPriority w:val="21"/>
    <w:qFormat/>
    <w:rsid w:val="005C5EDB"/>
    <w:rPr>
      <w:i/>
      <w:iCs/>
      <w:color w:val="0F4761" w:themeColor="accent1" w:themeShade="BF"/>
    </w:rPr>
  </w:style>
  <w:style w:type="paragraph" w:styleId="IntenseQuote">
    <w:name w:val="Intense Quote"/>
    <w:basedOn w:val="Normal"/>
    <w:next w:val="Normal"/>
    <w:link w:val="IntenseQuoteChar"/>
    <w:uiPriority w:val="30"/>
    <w:qFormat/>
    <w:rsid w:val="005C5E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5EDB"/>
    <w:rPr>
      <w:i/>
      <w:iCs/>
      <w:color w:val="0F4761" w:themeColor="accent1" w:themeShade="BF"/>
    </w:rPr>
  </w:style>
  <w:style w:type="character" w:styleId="IntenseReference">
    <w:name w:val="Intense Reference"/>
    <w:basedOn w:val="DefaultParagraphFont"/>
    <w:uiPriority w:val="32"/>
    <w:qFormat/>
    <w:rsid w:val="005C5EDB"/>
    <w:rPr>
      <w:b/>
      <w:bCs/>
      <w:smallCaps/>
      <w:color w:val="0F4761" w:themeColor="accent1" w:themeShade="BF"/>
      <w:spacing w:val="5"/>
    </w:rPr>
  </w:style>
  <w:style w:type="character" w:styleId="Hyperlink">
    <w:name w:val="Hyperlink"/>
    <w:basedOn w:val="DefaultParagraphFont"/>
    <w:uiPriority w:val="99"/>
    <w:unhideWhenUsed/>
    <w:rsid w:val="005C5EDB"/>
    <w:rPr>
      <w:color w:val="467886" w:themeColor="hyperlink"/>
      <w:u w:val="single"/>
    </w:rPr>
  </w:style>
  <w:style w:type="character" w:styleId="UnresolvedMention">
    <w:name w:val="Unresolved Mention"/>
    <w:basedOn w:val="DefaultParagraphFont"/>
    <w:uiPriority w:val="99"/>
    <w:semiHidden/>
    <w:unhideWhenUsed/>
    <w:rsid w:val="005C5E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208357">
      <w:bodyDiv w:val="1"/>
      <w:marLeft w:val="0"/>
      <w:marRight w:val="0"/>
      <w:marTop w:val="0"/>
      <w:marBottom w:val="0"/>
      <w:divBdr>
        <w:top w:val="none" w:sz="0" w:space="0" w:color="auto"/>
        <w:left w:val="none" w:sz="0" w:space="0" w:color="auto"/>
        <w:bottom w:val="none" w:sz="0" w:space="0" w:color="auto"/>
        <w:right w:val="none" w:sz="0" w:space="0" w:color="auto"/>
      </w:divBdr>
    </w:div>
    <w:div w:id="147285449">
      <w:bodyDiv w:val="1"/>
      <w:marLeft w:val="0"/>
      <w:marRight w:val="0"/>
      <w:marTop w:val="0"/>
      <w:marBottom w:val="0"/>
      <w:divBdr>
        <w:top w:val="none" w:sz="0" w:space="0" w:color="auto"/>
        <w:left w:val="none" w:sz="0" w:space="0" w:color="auto"/>
        <w:bottom w:val="none" w:sz="0" w:space="0" w:color="auto"/>
        <w:right w:val="none" w:sz="0" w:space="0" w:color="auto"/>
      </w:divBdr>
    </w:div>
    <w:div w:id="173419604">
      <w:bodyDiv w:val="1"/>
      <w:marLeft w:val="0"/>
      <w:marRight w:val="0"/>
      <w:marTop w:val="0"/>
      <w:marBottom w:val="0"/>
      <w:divBdr>
        <w:top w:val="none" w:sz="0" w:space="0" w:color="auto"/>
        <w:left w:val="none" w:sz="0" w:space="0" w:color="auto"/>
        <w:bottom w:val="none" w:sz="0" w:space="0" w:color="auto"/>
        <w:right w:val="none" w:sz="0" w:space="0" w:color="auto"/>
      </w:divBdr>
    </w:div>
    <w:div w:id="285624849">
      <w:bodyDiv w:val="1"/>
      <w:marLeft w:val="0"/>
      <w:marRight w:val="0"/>
      <w:marTop w:val="0"/>
      <w:marBottom w:val="0"/>
      <w:divBdr>
        <w:top w:val="none" w:sz="0" w:space="0" w:color="auto"/>
        <w:left w:val="none" w:sz="0" w:space="0" w:color="auto"/>
        <w:bottom w:val="none" w:sz="0" w:space="0" w:color="auto"/>
        <w:right w:val="none" w:sz="0" w:space="0" w:color="auto"/>
      </w:divBdr>
    </w:div>
    <w:div w:id="840199797">
      <w:bodyDiv w:val="1"/>
      <w:marLeft w:val="0"/>
      <w:marRight w:val="0"/>
      <w:marTop w:val="0"/>
      <w:marBottom w:val="0"/>
      <w:divBdr>
        <w:top w:val="none" w:sz="0" w:space="0" w:color="auto"/>
        <w:left w:val="none" w:sz="0" w:space="0" w:color="auto"/>
        <w:bottom w:val="none" w:sz="0" w:space="0" w:color="auto"/>
        <w:right w:val="none" w:sz="0" w:space="0" w:color="auto"/>
      </w:divBdr>
    </w:div>
    <w:div w:id="908534749">
      <w:bodyDiv w:val="1"/>
      <w:marLeft w:val="0"/>
      <w:marRight w:val="0"/>
      <w:marTop w:val="0"/>
      <w:marBottom w:val="0"/>
      <w:divBdr>
        <w:top w:val="none" w:sz="0" w:space="0" w:color="auto"/>
        <w:left w:val="none" w:sz="0" w:space="0" w:color="auto"/>
        <w:bottom w:val="none" w:sz="0" w:space="0" w:color="auto"/>
        <w:right w:val="none" w:sz="0" w:space="0" w:color="auto"/>
      </w:divBdr>
    </w:div>
    <w:div w:id="918902602">
      <w:bodyDiv w:val="1"/>
      <w:marLeft w:val="0"/>
      <w:marRight w:val="0"/>
      <w:marTop w:val="0"/>
      <w:marBottom w:val="0"/>
      <w:divBdr>
        <w:top w:val="none" w:sz="0" w:space="0" w:color="auto"/>
        <w:left w:val="none" w:sz="0" w:space="0" w:color="auto"/>
        <w:bottom w:val="none" w:sz="0" w:space="0" w:color="auto"/>
        <w:right w:val="none" w:sz="0" w:space="0" w:color="auto"/>
      </w:divBdr>
    </w:div>
    <w:div w:id="1055933872">
      <w:bodyDiv w:val="1"/>
      <w:marLeft w:val="0"/>
      <w:marRight w:val="0"/>
      <w:marTop w:val="0"/>
      <w:marBottom w:val="0"/>
      <w:divBdr>
        <w:top w:val="none" w:sz="0" w:space="0" w:color="auto"/>
        <w:left w:val="none" w:sz="0" w:space="0" w:color="auto"/>
        <w:bottom w:val="none" w:sz="0" w:space="0" w:color="auto"/>
        <w:right w:val="none" w:sz="0" w:space="0" w:color="auto"/>
      </w:divBdr>
    </w:div>
    <w:div w:id="1292053675">
      <w:bodyDiv w:val="1"/>
      <w:marLeft w:val="0"/>
      <w:marRight w:val="0"/>
      <w:marTop w:val="0"/>
      <w:marBottom w:val="0"/>
      <w:divBdr>
        <w:top w:val="none" w:sz="0" w:space="0" w:color="auto"/>
        <w:left w:val="none" w:sz="0" w:space="0" w:color="auto"/>
        <w:bottom w:val="none" w:sz="0" w:space="0" w:color="auto"/>
        <w:right w:val="none" w:sz="0" w:space="0" w:color="auto"/>
      </w:divBdr>
    </w:div>
    <w:div w:id="1584223674">
      <w:bodyDiv w:val="1"/>
      <w:marLeft w:val="0"/>
      <w:marRight w:val="0"/>
      <w:marTop w:val="0"/>
      <w:marBottom w:val="0"/>
      <w:divBdr>
        <w:top w:val="none" w:sz="0" w:space="0" w:color="auto"/>
        <w:left w:val="none" w:sz="0" w:space="0" w:color="auto"/>
        <w:bottom w:val="none" w:sz="0" w:space="0" w:color="auto"/>
        <w:right w:val="none" w:sz="0" w:space="0" w:color="auto"/>
      </w:divBdr>
    </w:div>
    <w:div w:id="1612787046">
      <w:bodyDiv w:val="1"/>
      <w:marLeft w:val="0"/>
      <w:marRight w:val="0"/>
      <w:marTop w:val="0"/>
      <w:marBottom w:val="0"/>
      <w:divBdr>
        <w:top w:val="none" w:sz="0" w:space="0" w:color="auto"/>
        <w:left w:val="none" w:sz="0" w:space="0" w:color="auto"/>
        <w:bottom w:val="none" w:sz="0" w:space="0" w:color="auto"/>
        <w:right w:val="none" w:sz="0" w:space="0" w:color="auto"/>
      </w:divBdr>
    </w:div>
    <w:div w:id="1699113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lp.docebo.com/hc/en-us/articles/360020125679-Managing-the-Course-Layout-and-Content"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help.docebo.com/hc/en-us/sections/11313260962450-New-Course-P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147</TotalTime>
  <Pages>2</Pages>
  <Words>515</Words>
  <Characters>2939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Nevin Fouts</dc:creator>
  <cp:keywords/>
  <dc:description/>
  <cp:lastModifiedBy>Nevin Fouts</cp:lastModifiedBy>
  <cp:revision>3</cp:revision>
  <dcterms:created xsi:type="dcterms:W3CDTF">2024-10-21T13:49:00Z</dcterms:created>
  <dcterms:modified xsi:type="dcterms:W3CDTF">2024-10-21T16:33:00Z</dcterms:modified>
</cp:coreProperties>
</file>